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การขออนุญาตรื้อถอนอาคาร ตามมาตรา 22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ผูใดจะรื้อถอนอาคารที่มีส่วนสูงเกิน 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ยื่นขออนุญาตรื้อถอนอาคาร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และแจ้งให้ผู้ขอมารับใบอนุญาตรื้อถอนอาคาร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แบบคำขออนุญาตรื้อถอนอาคาร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(กรณีที่เป็นอาคารมีลักษณะ ขนาด อยู่ในประเภทเป็นวิชาชีพวิศวกรรมควบคุม)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(กรณีเจ้าของอาคารเป็นนิติบุคคล)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การขออนุญาตรื้อถอนอาคาร ตามมาตรา 22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การขออนุญาตรื้อถอนอาคาร ตามมาตรา 22 องค์การบริหารส่วนตำบลเวียง อำเภอเทิง จังหวัดเชียงราย อ้อมฤทัย เขาไกรราช สำเนาคู่มือประชาชน 17/08/2015 18:27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